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06666C"/>
        </w:rPr>
        <w:t>EVOLUTION MARKETING  /  NOVEMBRO E DEZEMBRO DE 2026</w:t>
      </w:r>
    </w:p>
    <w:p>
      <w:r>
        <w:drawing>
          <wp:inline xmlns:a="http://schemas.openxmlformats.org/drawingml/2006/main" xmlns:pic="http://schemas.openxmlformats.org/drawingml/2006/picture">
            <wp:extent cx="1872000" cy="18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18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Planejamento estratégico de marketing</w:t>
      </w:r>
    </w:p>
    <w:p>
      <w:pPr>
        <w:pStyle w:val="Heading1"/>
      </w:pPr>
      <w:r>
        <w:t>Clínica Camargo e Camargo Vacinas</w:t>
      </w:r>
    </w:p>
    <w:p>
      <w:r>
        <w:t>Itapetininga • Novembro e dezembro de 2026</w:t>
      </w:r>
    </w:p>
    <w:p>
      <w:pPr>
        <w:pStyle w:val="Heading2"/>
      </w:pPr>
      <w:r>
        <w:t>Ampliar o reconhecimento das especialidades, valorizar os médicos e tornar o cuidado em vacinação mais visível.</w:t>
      </w:r>
    </w:p>
    <w:p>
      <w:r>
        <w:t>Este documento define o posicionamento, a leitura competitiva, os 24 conteúdos do bimestre e a rotina de execução. A estratégia preserva a tradição pediátrica e dá espaço à amplitude da instituição.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402"/>
        <w:gridCol w:w="4479"/>
      </w:tblGrid>
      <w:tr>
        <w:trPr>
          <w:tblHeader/>
          <w:cantSplit/>
        </w:trPr>
        <w:tc>
          <w:tcPr>
            <w:tcW w:type="dxa" w:w="1984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9"/>
              </w:rPr>
              <w:t>24 publicações</w:t>
            </w:r>
          </w:p>
        </w:tc>
        <w:tc>
          <w:tcPr>
            <w:tcW w:type="dxa" w:w="3402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9"/>
              </w:rPr>
              <w:t>14 estáticas</w:t>
            </w:r>
          </w:p>
        </w:tc>
        <w:tc>
          <w:tcPr>
            <w:tcW w:type="dxa" w:w="4479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9"/>
              </w:rPr>
              <w:t>10 Reels</w:t>
            </w:r>
          </w:p>
        </w:tc>
      </w:tr>
      <w:tr>
        <w:trPr>
          <w:cantSplit/>
        </w:trPr>
        <w:tc>
          <w:tcPr>
            <w:tcW w:type="dxa" w:w="198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Dois meses de execução</w:t>
            </w:r>
          </w:p>
        </w:tc>
        <w:tc>
          <w:tcPr>
            <w:tcW w:type="dxa" w:w="3402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Carrosséis incluídos</w:t>
            </w:r>
          </w:p>
        </w:tc>
        <w:tc>
          <w:tcPr>
            <w:tcW w:type="dxa" w:w="4479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Quatro médicos em destaque</w:t>
            </w:r>
          </w:p>
        </w:tc>
      </w:tr>
    </w:tbl>
    <w:p>
      <w:pPr>
        <w:pStyle w:val="Heading2"/>
      </w:pPr>
      <w:r>
        <w:t>Roteiro de leitura</w:t>
      </w:r>
    </w:p>
    <w:p>
      <w:r>
        <w:t>Direção e diagnóstico • Concorrência e vacinação • Identidade editorial • Profissionais • Calendários • Produção • Indicadores • Referências regulatórias e fontes</w:t>
      </w:r>
    </w:p>
    <w:p>
      <w:r>
        <w:t>Evolution Marketing • Planejamento de comunicação • 26 de outubro de 2026</w:t>
      </w:r>
    </w:p>
    <w:p>
      <w:r>
        <w:br w:type="page"/>
      </w:r>
    </w:p>
    <w:p>
      <w:pPr>
        <w:pStyle w:val="Heading1"/>
      </w:pPr>
      <w:r>
        <w:t>Direção estratégica para novembro e dezembro</w:t>
      </w:r>
    </w:p>
    <w:p>
      <w:r>
        <w:t>Ampliar o reconhecimento da Clínica Camargo como instituição com diferentes especialidades e fortalecer a Camargo Vacinas pela associação entre prevenção, tradição e cuidado médico.</w:t>
      </w:r>
    </w:p>
    <w:p>
      <w:pPr>
        <w:pStyle w:val="Heading2"/>
      </w:pPr>
      <w:r>
        <w:t>Decisão central</w:t>
      </w:r>
    </w:p>
    <w:p>
      <w:r>
        <w:t>Preservar a autoridade construída na pediatria e dar mais visibilidade ao corpo clínico, aos serviços e à vacinação. A comunicação do bimestre deverá ligar cada conteúdo a uma jornada clara de informação e contato.</w:t>
      </w:r>
    </w:p>
    <w:p>
      <w:pPr>
        <w:pStyle w:val="Heading2"/>
      </w:pPr>
      <w:r>
        <w:t>Entrega definida</w:t>
      </w:r>
    </w:p>
    <w:p>
      <w:r>
        <w:t>24 publicações no bimestre: 14 estáticas, incluindo carrosséis, e 10 Reels. Cada mês terá 12 publicações, sendo 7 estáticas e 5 Reels. Stories funcionarão como reforço, sem substituir as entregas do feed.</w:t>
      </w:r>
    </w:p>
    <w:p>
      <w:pPr>
        <w:pStyle w:val="Heading2"/>
      </w:pPr>
      <w:r>
        <w:t>Mensagem institucional</w:t>
      </w:r>
    </w:p>
    <w:p>
      <w:r>
        <w:t>Clínica Camargo. Uma história de cuidado, diferentes especialidades e atenção à sua família.</w:t>
      </w:r>
    </w:p>
    <w:p>
      <w:pPr>
        <w:pStyle w:val="Heading2"/>
      </w:pPr>
      <w:r>
        <w:t>Mensagem da vacinação</w:t>
      </w:r>
    </w:p>
    <w:p>
      <w:r>
        <w:t>Camargo Vacinas — prevenção com cuidado, tradição e responsabilidade médica.</w:t>
      </w:r>
    </w:p>
    <w:p>
      <w:pPr>
        <w:pStyle w:val="Heading2"/>
      </w:pPr>
      <w:r>
        <w:t>Objetivo do plano</w:t>
      </w:r>
    </w:p>
    <w:p>
      <w:r>
        <w:t>Transformar a amplitude dos serviços em conhecimento do público e procura qualificada. O planejamento define temas, datas, protagonistas, produção e acompanhamento; não estabelece promessa de resultado clínico ou comercial.</w:t>
      </w:r>
    </w:p>
    <w:p>
      <w:r>
        <w:br w:type="page"/>
      </w:r>
    </w:p>
    <w:p>
      <w:pPr>
        <w:pStyle w:val="Heading1"/>
      </w:pPr>
      <w:r>
        <w:t>Diagnóstico e oportunidade de posicionamento</w:t>
      </w:r>
    </w:p>
    <w:p>
      <w:r>
        <w:t>A história da clínica e sua presença pediátrica oferecem uma base forte para ampliar a comunicação institucional. O site ainda se apresenta como Clínica Infantil Camargo, enquanto o corpo clínico divulgado inclui outras áreas. [1]</w:t>
      </w:r>
    </w:p>
    <w:p>
      <w:pPr>
        <w:pStyle w:val="Heading2"/>
      </w:pPr>
      <w:r>
        <w:t>O que a comunicação precisa resolver</w:t>
      </w:r>
    </w:p>
    <w:p>
      <w:r>
        <w:t>A diversidade do atendimento deve aparecer logo na apresentação da marca, nos conteúdos fixados e nas páginas de serviços. Esta é uma leitura qualitativa dos canais e do briefing, não uma medição da percepção dos pacientes.</w:t>
      </w:r>
    </w:p>
    <w:p>
      <w:pPr>
        <w:pStyle w:val="Heading2"/>
      </w:pPr>
      <w:r>
        <w:t>Tradição e relacionamento</w:t>
      </w:r>
    </w:p>
    <w:p>
      <w:r>
        <w:t>O material institucional informa mais de 40 anos de atuação em Itapetininga e valoriza a trajetória do Dr. Antônio Carlos Camargo. A história será contada com arquivos, depoimentos da equipe e imagens atuais, sem alegações de superioridade.</w:t>
      </w:r>
    </w:p>
    <w:p>
      <w:pPr>
        <w:pStyle w:val="Heading2"/>
      </w:pPr>
      <w:r>
        <w:t>Corpo clínico e acesso</w:t>
      </w:r>
    </w:p>
    <w:p>
      <w:r>
        <w:t>Apresentar profissionais, áreas de atendimento e formas de agendamento. Horários de pediatria, convênios, estacionamento e demais facilidades deverão ser conferidos com a recepção antes da publicação.</w:t>
      </w:r>
    </w:p>
    <w:p>
      <w:pPr>
        <w:pStyle w:val="Heading2"/>
      </w:pPr>
      <w:r>
        <w:t>Vacinação integrada</w:t>
      </w:r>
    </w:p>
    <w:p>
      <w:r>
        <w:t>A comunicação institucional informa supervisão por pediatras e vacinação domiciliar. Esses serviços sustentam uma narrativa de prevenção conectada à clínica, com divulgação fiel ao funcionamento efetivo. [2]</w:t>
      </w:r>
    </w:p>
    <w:p>
      <w:pPr>
        <w:pStyle w:val="Heading2"/>
      </w:pPr>
      <w:r>
        <w:t>Aplicação imediata</w:t>
      </w:r>
    </w:p>
    <w:p>
      <w:r>
        <w:t>Reorganizar bio, destaques e mensagens de entrada em três frentes: Clínica, Especialidades e Vacinas. A denominação de divulgação deve ser alinhada ao cadastro da instituição e à identificação do responsável técnico.</w:t>
      </w:r>
    </w:p>
    <w:p>
      <w:r>
        <w:br w:type="page"/>
      </w:r>
    </w:p>
    <w:p>
      <w:pPr>
        <w:pStyle w:val="Heading1"/>
      </w:pPr>
      <w:r>
        <w:t>Concorrência e resposta estratégica</w:t>
      </w:r>
    </w:p>
    <w:p>
      <w:r>
        <w:t>A Saúde Livre será o foco prioritário da análise competitiva em vacinação, conforme o briefing. A escolha é estratégica e não equivale a um ranking de participação de mercado.</w:t>
      </w:r>
    </w:p>
    <w:p>
      <w:pPr>
        <w:pStyle w:val="Heading2"/>
      </w:pPr>
      <w:r>
        <w:t>Leitura do mercado</w:t>
      </w:r>
    </w:p>
    <w:p>
      <w:r>
        <w:t>Clínicas multiespecialidades competem por amplitude e conveniência; consultórios, pela presença dos médicos; serviços de vacinação, pela prevenção e facilidade de acesso. A resposta da Camargo será apresentar seus ativos de forma consistente.</w:t>
      </w:r>
    </w:p>
    <w:p>
      <w:pPr>
        <w:pStyle w:val="Heading2"/>
      </w:pPr>
      <w:r>
        <w:t>Critério para competir</w:t>
      </w:r>
    </w:p>
    <w:p>
      <w:r>
        <w:t>Comparar modelos de comunicação para orientar a estratégia interna. Evitar peças públicas que ataquem concorrentes, comparem resultados clínicos ou atribuam superioridade sem evidência.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402"/>
        <w:gridCol w:w="4479"/>
      </w:tblGrid>
      <w:tr>
        <w:trPr>
          <w:tblHeader/>
          <w:cantSplit/>
        </w:trPr>
        <w:tc>
          <w:tcPr>
            <w:tcW w:type="dxa" w:w="1984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9"/>
              </w:rPr>
              <w:t>Concorrente</w:t>
            </w:r>
          </w:p>
        </w:tc>
        <w:tc>
          <w:tcPr>
            <w:tcW w:type="dxa" w:w="3402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9"/>
              </w:rPr>
              <w:t>Presença e foco</w:t>
            </w:r>
          </w:p>
        </w:tc>
        <w:tc>
          <w:tcPr>
            <w:tcW w:type="dxa" w:w="4479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9"/>
              </w:rPr>
              <w:t>Resposta da Camargo</w:t>
            </w:r>
          </w:p>
        </w:tc>
      </w:tr>
      <w:tr>
        <w:trPr>
          <w:cantSplit/>
        </w:trPr>
        <w:tc>
          <w:tcPr>
            <w:tcW w:type="dxa" w:w="198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Saúde Livre Vacinas</w:t>
            </w:r>
          </w:p>
        </w:tc>
        <w:tc>
          <w:tcPr>
            <w:tcW w:type="dxa" w:w="3402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Rede de vacinação com unidade local confirmada.</w:t>
            </w:r>
          </w:p>
        </w:tc>
        <w:tc>
          <w:tcPr>
            <w:tcW w:type="dxa" w:w="4479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Responder com história, equipe e processos demonstráveis da Camargo. [3–4]</w:t>
            </w:r>
          </w:p>
        </w:tc>
      </w:tr>
      <w:tr>
        <w:trPr>
          <w:cantSplit/>
        </w:trPr>
        <w:tc>
          <w:tcPr>
            <w:tcW w:type="dxa" w:w="198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Clínica da Cidade</w:t>
            </w:r>
          </w:p>
        </w:tc>
        <w:tc>
          <w:tcPr>
            <w:tcW w:type="dxa" w:w="3402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Rede com unidade em Itapetininga e comunicação de acesso a serviços.</w:t>
            </w:r>
          </w:p>
        </w:tc>
        <w:tc>
          <w:tcPr>
            <w:tcW w:type="dxa" w:w="4479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Tornar especialidades e caminhos de agendamento mais claros. [5]</w:t>
            </w:r>
          </w:p>
        </w:tc>
      </w:tr>
      <w:tr>
        <w:trPr>
          <w:cantSplit/>
        </w:trPr>
        <w:tc>
          <w:tcPr>
            <w:tcW w:type="dxa" w:w="198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Pró Clínica</w:t>
            </w:r>
          </w:p>
        </w:tc>
        <w:tc>
          <w:tcPr>
            <w:tcW w:type="dxa" w:w="3402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Consultas, exames e odontologia; destaque para conveniência.</w:t>
            </w:r>
          </w:p>
        </w:tc>
        <w:tc>
          <w:tcPr>
            <w:tcW w:type="dxa" w:w="4479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Apresentar estrutura e áreas de atendimento de forma organizada. [6]</w:t>
            </w:r>
          </w:p>
        </w:tc>
      </w:tr>
      <w:tr>
        <w:trPr>
          <w:cantSplit/>
        </w:trPr>
        <w:tc>
          <w:tcPr>
            <w:tcW w:type="dxa" w:w="198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Clínica Nascer</w:t>
            </w:r>
          </w:p>
        </w:tc>
        <w:tc>
          <w:tcPr>
            <w:tcW w:type="dxa" w:w="3402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Presença local confirmada; saúde da mulher e atendimento infantil citados no briefing.</w:t>
            </w:r>
          </w:p>
        </w:tc>
        <w:tc>
          <w:tcPr>
            <w:tcW w:type="dxa" w:w="4479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Acompanhar comunicação e oferta atual antes de comparações específicas. [7]</w:t>
            </w:r>
          </w:p>
        </w:tc>
      </w:tr>
      <w:tr>
        <w:trPr>
          <w:cantSplit/>
        </w:trPr>
        <w:tc>
          <w:tcPr>
            <w:tcW w:type="dxa" w:w="198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Crescer Kids</w:t>
            </w:r>
          </w:p>
        </w:tc>
        <w:tc>
          <w:tcPr>
            <w:tcW w:type="dxa" w:w="3402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Pediatria e vacinação citadas no briefing como concorrência local.</w:t>
            </w:r>
          </w:p>
        </w:tc>
        <w:tc>
          <w:tcPr>
            <w:tcW w:type="dxa" w:w="4479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9"/>
              </w:rPr>
              <w:t>Manter no radar; validar canais e oferta atual antes de qualquer comparação pública.</w:t>
            </w:r>
          </w:p>
        </w:tc>
      </w:tr>
    </w:tbl>
    <w:p>
      <w:r>
        <w:br w:type="page"/>
      </w:r>
    </w:p>
    <w:p>
      <w:pPr>
        <w:pStyle w:val="Heading1"/>
      </w:pPr>
      <w:r>
        <w:t>Camargo Vacinas diante da Saúde Livre</w:t>
      </w:r>
    </w:p>
    <w:p>
      <w:r>
        <w:t>A página oficial da Saúde Livre confirma a unidade na Rua Dr. Coutinho, 678, Centro de Itapetininga, e comunica planejamento vacinal para diferentes públicos. A escala nacional da rede é autodeclarada e não demonstra liderança no mercado local. [3–4]</w:t>
      </w:r>
    </w:p>
    <w:p>
      <w:pPr>
        <w:pStyle w:val="Heading2"/>
      </w:pPr>
      <w:r>
        <w:t>Escolha competitiva</w:t>
      </w:r>
    </w:p>
    <w:p>
      <w:r>
        <w:t>A Camargo deverá apresentar quem coordena o serviço, como a equipe orienta as famílias e quais cuidados fazem parte da operação. A vacinação domiciliar não será anunciada como exclusividade.</w:t>
      </w:r>
    </w:p>
    <w:p>
      <w:pPr>
        <w:pStyle w:val="Heading2"/>
      </w:pPr>
      <w:r>
        <w:t>Evidências visuais</w:t>
      </w:r>
    </w:p>
    <w:p>
      <w:r>
        <w:t>Produzir imagens reais de conservação, monitoramento, equipe e acolhimento. O modelo Elber Medical CSV280 é citado no briefing e no conteúdo institucional; capacidades, autonomia e rotinas só entrarão nas peças com comprovação técnica atual.</w:t>
      </w:r>
    </w:p>
    <w:p>
      <w:pPr>
        <w:pStyle w:val="Heading2"/>
      </w:pPr>
      <w:r>
        <w:t>Campanha de novembro</w:t>
      </w:r>
    </w:p>
    <w:p>
      <w:r>
        <w:t>Três frentes: prevenção das doenças pneumocócicas; HPV e prevenção; bastidores da Camargo Vacinas. A pauta original sobre pneumocócica 20-valente será tratada como educação em saúde e avaliação individual, sem promoção comercial de produto sujeito a prescrição.</w:t>
      </w:r>
    </w:p>
    <w:p>
      <w:pPr>
        <w:pStyle w:val="Heading2"/>
      </w:pPr>
      <w:r>
        <w:t>Campanha de dezembro</w:t>
      </w:r>
    </w:p>
    <w:p>
      <w:r>
        <w:t>Orientar a organização da caderneta antes das férias e responder dúvidas gerais sobre atendimento. Destino, idade e histórico individual entram na avaliação profissional, sem esquemas universais publicados no feed.</w:t>
      </w:r>
    </w:p>
    <w:p>
      <w:pPr>
        <w:pStyle w:val="Heading2"/>
      </w:pPr>
      <w:r>
        <w:t>Chamada para ação</w:t>
      </w:r>
    </w:p>
    <w:p>
      <w:r>
        <w:t>Usar convites para conhecer o serviço, esclarecer o funcionamento e buscar avaliação do histórico vacinal. Não associar conteúdo sobre imunizante específico a preço, urgência comercial ou promessa de proteção absoluta.</w:t>
      </w:r>
    </w:p>
    <w:p>
      <w:r>
        <w:br w:type="page"/>
      </w:r>
    </w:p>
    <w:p>
      <w:pPr>
        <w:pStyle w:val="Heading1"/>
      </w:pPr>
      <w:r>
        <w:t>Estratégia editorial e identidade visual</w:t>
      </w:r>
    </w:p>
    <w:p>
      <w:r>
        <w:t>O calendário integra Clínica Camargo e Camargo Vacinas. A unidade visual será construída com turquesa, laranja, branco e formas orgânicas inspiradas nas referências enviadas.</w:t>
      </w:r>
    </w:p>
    <w:p>
      <w:pPr>
        <w:pStyle w:val="Heading2"/>
      </w:pPr>
      <w:r>
        <w:t>35 por cento Institucional</w:t>
      </w:r>
    </w:p>
    <w:p>
      <w:r>
        <w:t>História, estrutura, apresentação das especialidades e informações úteis de acesso.</w:t>
      </w:r>
    </w:p>
    <w:p>
      <w:pPr>
        <w:pStyle w:val="Heading2"/>
      </w:pPr>
      <w:r>
        <w:t>25 por cento Corpo clínico</w:t>
      </w:r>
    </w:p>
    <w:p>
      <w:r>
        <w:t>Apresentação dos médicos, trajetória e esclarecimento de dúvidas recorrentes.</w:t>
      </w:r>
    </w:p>
    <w:p>
      <w:pPr>
        <w:pStyle w:val="Heading2"/>
      </w:pPr>
      <w:r>
        <w:t>25 por cento Vacinação</w:t>
      </w:r>
    </w:p>
    <w:p>
      <w:r>
        <w:t>Educação, funcionamento do serviço, conservação e planejamento da prevenção.</w:t>
      </w:r>
    </w:p>
    <w:p>
      <w:pPr>
        <w:pStyle w:val="Heading2"/>
      </w:pPr>
      <w:r>
        <w:t>15 por cento Relacionamento</w:t>
      </w:r>
    </w:p>
    <w:p>
      <w:r>
        <w:t>Campanhas de saúde, férias, mensagens institucionais e informações de atendimento. Os percentuais orientam o conjunto; não são uma divisão matemática dos 24 posts.</w:t>
      </w:r>
    </w:p>
    <w:p>
      <w:pPr>
        <w:pStyle w:val="Heading2"/>
      </w:pPr>
      <w:r>
        <w:t>Padrão de criação</w:t>
      </w:r>
    </w:p>
    <w:p>
      <w:r>
        <w:t>Usar turquesa como cor predominante e laranja nos pontos de atenção. Priorizar títulos curtos, contraste legível, fotos reais e legendas nos vídeos. Manter a marca existente; a ampliação do posicionamento não implica redesenhar o logotipo.</w:t>
      </w:r>
    </w:p>
    <w:p>
      <w:pPr>
        <w:pStyle w:val="Heading2"/>
      </w:pPr>
      <w:r>
        <w:t>Uso das referências</w:t>
      </w:r>
    </w:p>
    <w:p>
      <w:r>
        <w:t>As imagens abaixo orientam cores e composição. Seus textos de saúde não serão reutilizados automaticamente; cada nova peça receberá revisão técnica.</w:t>
      </w:r>
    </w:p>
    <w:p>
      <w:r>
        <w:drawing>
          <wp:inline xmlns:a="http://schemas.openxmlformats.org/drawingml/2006/main" xmlns:pic="http://schemas.openxmlformats.org/drawingml/2006/picture">
            <wp:extent cx="1440000" cy="18081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ferencia-hidrataca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0812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xmlns:a="http://schemas.openxmlformats.org/drawingml/2006/main" xmlns:pic="http://schemas.openxmlformats.org/drawingml/2006/picture">
            <wp:extent cx="1440000" cy="18081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ferencia-sono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808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Profissionais em destaque no bimestre</w:t>
      </w:r>
    </w:p>
    <w:p>
      <w:r>
        <w:t>Os quatro protagonistas foram preservados do briefing e aparecem no site institucional. As áreas abaixo descrevem a pauta de planejamento; a identificação de especialidade nas peças depende da conferência do respectivo RQE. [1, 9–10]</w:t>
      </w:r>
    </w:p>
    <w:p>
      <w:pPr>
        <w:pStyle w:val="Heading2"/>
      </w:pPr>
      <w:r>
        <w:t>Novembro</w:t>
      </w:r>
    </w:p>
    <w:p>
      <w:r>
        <w:t>Dr. Robin Kin Iti Yokoyama — Ginecologia e Obstetrícia: trajetória e atendimento em saúde da mulher. Dr. Luiz Gustavo Rachid Fernandes — Psiquiatria: apresentação profissional e cuidado em saúde mental.</w:t>
      </w:r>
    </w:p>
    <w:p>
      <w:pPr>
        <w:pStyle w:val="Heading2"/>
      </w:pPr>
      <w:r>
        <w:t>Dezembro</w:t>
      </w:r>
    </w:p>
    <w:p>
      <w:r>
        <w:t>Dra. Stephanie Vieira Giorgetti — Pediatria e formação em Gastroenterologia Pediátrica: apresentação e saúde gastrointestinal infantil. Dra. Marília Orsi Rosa da S. Rios — Endocrinologia e Metabologia: apresentação e orientação sobre saúde metabólica.</w:t>
      </w:r>
    </w:p>
    <w:p>
      <w:pPr>
        <w:pStyle w:val="Heading2"/>
      </w:pPr>
      <w:r>
        <w:t>Estrutura dos Reels</w:t>
      </w:r>
    </w:p>
    <w:p>
      <w:r>
        <w:t>Duração editorial sugerida de 30 a 60 segundos. Abertura com uma dúvida concreta; apresentação do médico; orientação geral; encerramento com caminho de contato. Gravar em ambiente silencioso, com fala natural, legendas e identificação legível.</w:t>
      </w:r>
    </w:p>
    <w:p>
      <w:pPr>
        <w:pStyle w:val="Heading2"/>
      </w:pPr>
      <w:r>
        <w:t>Identificação antes da publicação</w:t>
      </w:r>
    </w:p>
    <w:p>
      <w:r>
        <w:t>A clínica fornecerá a grafia profissional, CRM e UF, RQE aplicável, formação autorizada e disponibilidade de atendimento. A conferência será feita no cadastro profissional. Pós-graduação não será convertida automaticamente em título de especialista.</w:t>
      </w:r>
    </w:p>
    <w:p>
      <w:pPr>
        <w:pStyle w:val="Heading2"/>
      </w:pPr>
      <w:r>
        <w:t>Privacidade na captação</w:t>
      </w:r>
    </w:p>
    <w:p>
      <w:r>
        <w:t>Priorizar médicos, equipe e ambientes sem pacientes identificáveis. Evitar prontuários, telas de atendimento e cadernetas com dados pessoais. Uso de imagem de pacientes exige avaliação específica das regras e autorização aplicável.</w:t>
      </w:r>
    </w:p>
    <w:p>
      <w:r>
        <w:br w:type="page"/>
      </w:r>
    </w:p>
    <w:p>
      <w:pPr>
        <w:pStyle w:val="Heading1"/>
      </w:pPr>
      <w:r>
        <w:t>Calendário de novembro de 2026</w:t>
      </w:r>
    </w:p>
    <w:p>
      <w:r>
        <w:t>Fortalecer a marca, apresentar Dr. Robin e Dr. Luiz Gustavo e tornar visíveis os cuidados da Camargo Vacinas.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1191"/>
        <w:gridCol w:w="2835"/>
        <w:gridCol w:w="4706"/>
      </w:tblGrid>
      <w:tr>
        <w:trPr>
          <w:tblHeader/>
          <w:cantSplit/>
        </w:trPr>
        <w:tc>
          <w:tcPr>
            <w:tcW w:type="dxa" w:w="1134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Data</w:t>
            </w:r>
          </w:p>
        </w:tc>
        <w:tc>
          <w:tcPr>
            <w:tcW w:type="dxa" w:w="1191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Formato</w:t>
            </w:r>
          </w:p>
        </w:tc>
        <w:tc>
          <w:tcPr>
            <w:tcW w:type="dxa" w:w="2835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Tema</w:t>
            </w:r>
          </w:p>
        </w:tc>
        <w:tc>
          <w:tcPr>
            <w:tcW w:type="dxa" w:w="4706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Direção de conteúdo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03/11 • ter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Clínica Camargo além da pediatria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Apresentar a instituição e sua diversidade de atendimentos.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05/11 • qui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Novembro Azul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Estimular o cuidado integral do homem, sem convocação indiscriminada para exames.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07/11 • sáb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Prevenção das doenças pneumocócicas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Explicar prevenção e avaliação individual do histórico vacinal; sem oferta de produto.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10/11 • ter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Conheça o Dr. Robin Kin Iti Yokoyama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Apresentar trajetória e atendimento; identificação profissional validada.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12/11 • qui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Rede Nexo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Explicar acesso e condições vigentes confirmadas com a clínica; sem prometer benefícios genéricos.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14/11 • sáb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Por dentro da Camargo Vacinas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Mostrar equipe e rotina real de conservação e atendimento.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15/11 • dom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Dia Mundial da Prematuridade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Valorizar acompanhamento após a alta e apoio às famílias.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19/11 • qui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Conheça o Dr. Luiz Gustavo Rachid Fernandes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Apresentar o médico e a importância de procurar cuidado em saúde mental.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21/11 • sáb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HPV e prevenção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Educar sobre prevenção e avaliação do calendário, sem restringir o tema apenas às mulheres.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24/11 • ter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Especialidades da Clínica Camargo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Organizar áreas de atendimento e orientar o contato com a recepção.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26/11 • qui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História e tradição da Clínica Camargo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Conectar a trajetória do Dr. Antônio Carlos Camargo ao cuidado atual.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28/11 • sáb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Carrossel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Cuidados na conservação de vacinas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Explicar processos verificáveis, sem promessa de risco zero.</w:t>
            </w:r>
          </w:p>
        </w:tc>
      </w:tr>
    </w:tbl>
    <w:p>
      <w:pPr>
        <w:pStyle w:val="Heading2"/>
      </w:pPr>
      <w:r>
        <w:t>Composição mensal</w:t>
      </w:r>
    </w:p>
    <w:p>
      <w:r>
        <w:t>12 publicações: 7 estáticas, incluindo 1 carrossel, e 5 Reels. Stories complementam as pautas. Os horários serão definidos pelos dados do perfil e pela disponibilidade operacional.</w:t>
      </w:r>
    </w:p>
    <w:p>
      <w:pPr>
        <w:pStyle w:val="Heading2"/>
      </w:pPr>
      <w:r>
        <w:t>Ajuste de data</w:t>
      </w:r>
    </w:p>
    <w:p>
      <w:r>
        <w:t>Prematuridade foi movida de 17 para 15/11 conforme o calendário da OMS para 2026. Essa exceção preserva o total de publicações. [8]</w:t>
      </w:r>
    </w:p>
    <w:p>
      <w:r>
        <w:br w:type="page"/>
      </w:r>
    </w:p>
    <w:p>
      <w:pPr>
        <w:pStyle w:val="Heading1"/>
      </w:pPr>
      <w:r>
        <w:t>Calendário de dezembro de 2026</w:t>
      </w:r>
    </w:p>
    <w:p>
      <w:r>
        <w:t>Dar continuidade à apresentação do corpo clínico com Dra. Stephanie e Dra. Marília, conectando prevenção, férias e relacionamento.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1191"/>
        <w:gridCol w:w="2835"/>
        <w:gridCol w:w="4706"/>
      </w:tblGrid>
      <w:tr>
        <w:trPr>
          <w:tblHeader/>
          <w:cantSplit/>
        </w:trPr>
        <w:tc>
          <w:tcPr>
            <w:tcW w:type="dxa" w:w="1134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Data</w:t>
            </w:r>
          </w:p>
        </w:tc>
        <w:tc>
          <w:tcPr>
            <w:tcW w:type="dxa" w:w="1191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Formato</w:t>
            </w:r>
          </w:p>
        </w:tc>
        <w:tc>
          <w:tcPr>
            <w:tcW w:type="dxa" w:w="2835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Tema</w:t>
            </w:r>
          </w:p>
        </w:tc>
        <w:tc>
          <w:tcPr>
            <w:tcW w:type="dxa" w:w="4706"/>
            <w:shd w:fill="06666C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17"/>
              </w:rPr>
              <w:t>Direção de conteúdo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01/12 • ter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Dezembro Vermelho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Informação sobre prevenção de ISTs e procura por orientação profissional.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03/12 • qui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Conheça a Dra. Stephanie Vieira Giorgetti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Apresentação profissional e contexto do cuidado infantil.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05/12 • sáb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Vacinação e planejamento das férias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Incentivar revisão antecipada da caderneta, conforme destino e histórico.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08/12 • ter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Conheça a Dra. Marília Orsi Rosa da S. Rios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Apresentação profissional e acompanhamento da saúde metabólica.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10/12 • qui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Saúde gastrointestinal infantil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Dúvidas frequentes e importância de avaliação individual.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12/12 • sáb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Camargo Vacinas responde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Esclarecer como organizar histórico e dúvidas para a avaliação vacinal.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15/12 • ter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Dezembro Laranja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Prevenção e cuidados com a pele, sem sugerir oferta de dermatologia não confirmada.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17/12 • qui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Saúde metabólica com a Dra. Marília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Orientação de rotina para as festas, sem dietas ou condutas individualizadas.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19/12 • sáb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Carrossel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Viagens e atualização vacinal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Organizar destino, antecedência e avaliação das necessidades do viajante.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22/12 • ter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Reels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Especialidades e cuidado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Reunir profissionais e ambientes em uma síntese institucional.</w:t>
            </w:r>
          </w:p>
        </w:tc>
      </w:tr>
      <w:tr>
        <w:trPr>
          <w:cantSplit/>
        </w:trPr>
        <w:tc>
          <w:tcPr>
            <w:tcW w:type="dxa" w:w="1134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24/12 • qui</w:t>
            </w:r>
          </w:p>
        </w:tc>
        <w:tc>
          <w:tcPr>
            <w:tcW w:type="dxa" w:w="1191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Mensagem de Natal</w:t>
            </w:r>
          </w:p>
        </w:tc>
        <w:tc>
          <w:tcPr>
            <w:tcW w:type="dxa" w:w="4706"/>
            <w:shd w:fill="EDF7F6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Relacionamento e acolhimento; informar horários somente após confirmação.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29/12 • ter</w:t>
            </w:r>
          </w:p>
        </w:tc>
        <w:tc>
          <w:tcPr>
            <w:tcW w:type="dxa" w:w="1191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Estático</w:t>
            </w:r>
          </w:p>
        </w:tc>
        <w:tc>
          <w:tcPr>
            <w:tcW w:type="dxa" w:w="2835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Encerramento de 2026</w:t>
            </w:r>
          </w:p>
        </w:tc>
        <w:tc>
          <w:tcPr>
            <w:tcW w:type="dxa" w:w="4706"/>
            <w:shd w:fill="FFFFFF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color w:val="183E43"/>
                <w:sz w:val="17"/>
              </w:rPr>
              <w:t>Agradecer a confiança e reforçar a continuidade do cuidado.</w:t>
            </w:r>
          </w:p>
        </w:tc>
      </w:tr>
    </w:tbl>
    <w:p>
      <w:pPr>
        <w:pStyle w:val="Heading2"/>
      </w:pPr>
      <w:r>
        <w:t>Composição mensal</w:t>
      </w:r>
    </w:p>
    <w:p>
      <w:r>
        <w:t>12 publicações: 7 estáticas, incluindo 1 carrossel, e 5 Reels. Stories complementam as pautas. Os horários serão definidos pelos dados do perfil e pela disponibilidade operacional.</w:t>
      </w:r>
    </w:p>
    <w:p>
      <w:r>
        <w:br w:type="page"/>
      </w:r>
    </w:p>
    <w:p>
      <w:pPr>
        <w:pStyle w:val="Heading1"/>
      </w:pPr>
      <w:r>
        <w:t>Produção e presença digital</w:t>
      </w:r>
    </w:p>
    <w:p>
      <w:r>
        <w:t>A execução concentrará captações por mês e organizará a revisão técnica antes do agendamento. Os Reels serão gravados com material de apoio suficiente para cobrir as cinco entregas de cada mês.</w:t>
      </w:r>
    </w:p>
    <w:p>
      <w:pPr>
        <w:pStyle w:val="Heading2"/>
      </w:pPr>
      <w:r>
        <w:t>Até 30 de outubro</w:t>
      </w:r>
    </w:p>
    <w:p>
      <w:r>
        <w:t>Evolution organiza pautas, roteiros e referências. Clínica confirma cadastro, profissionais, Rede Nexo, serviços e condições de atendimento. Captar a instituição e os profissionais de novembro; separar um depoimento sobre a história para o Reel de 26/11.</w:t>
      </w:r>
    </w:p>
    <w:p>
      <w:pPr>
        <w:pStyle w:val="Heading2"/>
      </w:pPr>
      <w:r>
        <w:t>Até 25 de novembro</w:t>
      </w:r>
    </w:p>
    <w:p>
      <w:r>
        <w:t>Gravar apresentações da Dra. Stephanie e da Dra. Marília, orientação de saúde metabólica, dúvidas de vacinação e cenas institucionais para 22/12. Fotografar imagens de apoio para a peça gastrointestinal de 10/12. A clínica deve alinhar a disponibilidade dos profissionais a estas datas.</w:t>
      </w:r>
    </w:p>
    <w:p>
      <w:pPr>
        <w:pStyle w:val="Heading2"/>
      </w:pPr>
      <w:r>
        <w:t>Fluxo por publicação</w:t>
      </w:r>
    </w:p>
    <w:p>
      <w:r>
        <w:t>Evolution entrega texto, arte ou edição com pelo menos cinco dias úteis de antecedência. Responsável indicado pela clínica devolve a revisão técnica até dois dias úteis antes da publicação. Evolution corrige, agenda e registra a versão aprovada. A primeira semana será fechada até 30/10.</w:t>
      </w:r>
    </w:p>
    <w:p>
      <w:pPr>
        <w:pStyle w:val="Heading2"/>
      </w:pPr>
      <w:r>
        <w:t>Prioridades dos canais</w:t>
      </w:r>
    </w:p>
    <w:p>
      <w:r>
        <w:t>Ajustar a abertura do site para explicitar as áreas de atendimento; padronizar páginas de profissionais; destacar as formas de contato; manter informações de vacinação atualizadas. As melhorias nos sites institucionais são frentes de execução, não alterações realizadas por este planejamento.</w:t>
      </w:r>
    </w:p>
    <w:p>
      <w:pPr>
        <w:pStyle w:val="Heading2"/>
      </w:pPr>
      <w:r>
        <w:t>Jornada de contato</w:t>
      </w:r>
    </w:p>
    <w:p>
      <w:r>
        <w:t>Conteúdo → perfil ou página de serviço → canal de agendamento → registro de origem pela recepção. Usar links identificados por campanha e mês quando o canal permitir. A apresentação estratégica não substituirá o site público da clínica.</w:t>
      </w:r>
    </w:p>
    <w:p>
      <w:r>
        <w:br w:type="page"/>
      </w:r>
    </w:p>
    <w:p>
      <w:pPr>
        <w:pStyle w:val="Heading1"/>
      </w:pPr>
      <w:r>
        <w:t>Indicadores e gestão do bimestre</w:t>
      </w:r>
    </w:p>
    <w:p>
      <w:r>
        <w:t>Acompanhar a comunicação e os contatos originados pelos conteúdos. As metas de entrega estão fechadas; metas de crescimento exigem a linha de base real dos canais.</w:t>
      </w:r>
    </w:p>
    <w:p>
      <w:pPr>
        <w:pStyle w:val="Heading2"/>
      </w:pPr>
      <w:r>
        <w:t>Rotina semanal</w:t>
      </w:r>
    </w:p>
    <w:p>
      <w:r>
        <w:t>Evolution confere publicações realizadas, alcance, visualizações, retenção disponível, salvamentos e compartilhamentos. Comparar formatos equivalentes e observar a resposta aos temas e aos profissionais.</w:t>
      </w:r>
    </w:p>
    <w:p>
      <w:pPr>
        <w:pStyle w:val="Heading2"/>
      </w:pPr>
      <w:r>
        <w:t>Fechamento mensal</w:t>
      </w:r>
    </w:p>
    <w:p>
      <w:r>
        <w:t>Entregar o relatório de novembro até 04/12 e o de dezembro até 08/01/2027. Comparar resultados com o mês anterior e destacar conteúdos que geraram procura pelos serviços.</w:t>
      </w:r>
    </w:p>
    <w:p>
      <w:pPr>
        <w:pStyle w:val="Heading2"/>
      </w:pPr>
      <w:r>
        <w:t>Origem e agendamento</w:t>
      </w:r>
    </w:p>
    <w:p>
      <w:r>
        <w:t>Recepção registra quantidade de contatos vindos do Instagram, especialidade ou vacinação procurada e agendamentos efetivados. Usar resultados agregados, sem diagnóstico ou identificação de pacientes no relatório de marketing.</w:t>
      </w:r>
    </w:p>
    <w:p>
      <w:pPr>
        <w:pStyle w:val="Heading2"/>
      </w:pPr>
      <w:r>
        <w:t>Métricas de decisão</w:t>
      </w:r>
    </w:p>
    <w:p>
      <w:r>
        <w:t>Taxa de contato para agendamento = agendamentos atribuídos ÷ contatos atribuídos. Acompanhar também cliques, visitas ao perfil e interações por alcance. Separar dados indisponíveis de valores iguais a zero.</w:t>
      </w:r>
    </w:p>
    <w:p>
      <w:pPr>
        <w:pStyle w:val="Heading2"/>
      </w:pPr>
      <w:r>
        <w:t>Responsabilidades</w:t>
      </w:r>
    </w:p>
    <w:p>
      <w:r>
        <w:t>Evolution: criação, edição, programação e relatório. Clínica e responsável técnico: informações de serviços, validação médica e identificação profissional. Recepção: atendimento, origem dos contatos e atualização dos horários.</w:t>
      </w:r>
    </w:p>
    <w:p>
      <w:pPr>
        <w:pStyle w:val="Heading2"/>
      </w:pPr>
      <w:r>
        <w:t>Resultado esperado</w:t>
      </w:r>
    </w:p>
    <w:p>
      <w:r>
        <w:t>Maior clareza sobre a instituição, exposição consistente dos profissionais e compreensão do serviço de vacinação. A decisão sobre próximos temas será apoiada nos resultados observados, sem promessa de volume de pacientes.</w:t>
      </w:r>
    </w:p>
    <w:p>
      <w:r>
        <w:br w:type="page"/>
      </w:r>
    </w:p>
    <w:p>
      <w:pPr>
        <w:pStyle w:val="Heading1"/>
      </w:pPr>
      <w:r>
        <w:t>Referências regulatórias para a execução</w:t>
      </w:r>
    </w:p>
    <w:p>
      <w:r>
        <w:t>O plano é uma apresentação de marketing para a clínica. Cada peça destinada ao público deve passar por revisão técnica antes de ser veiculada.</w:t>
      </w:r>
    </w:p>
    <w:p>
      <w:pPr>
        <w:pStyle w:val="Heading2"/>
      </w:pPr>
      <w:r>
        <w:t>Publicidade médica</w:t>
      </w:r>
    </w:p>
    <w:p>
      <w:r>
        <w:t>Aplicar a Resolução CFM 2336/2023: identificação do médico com CRM e UF e RQE ao anunciar especialidade, além da identificação exigida para o estabelecimento e seu diretor técnico. Confirmar registros e regras de apresentação no perfil e nas peças. [9–10]</w:t>
      </w:r>
    </w:p>
    <w:p>
      <w:pPr>
        <w:pStyle w:val="Heading2"/>
      </w:pPr>
      <w:r>
        <w:t>Formação e linguagem</w:t>
      </w:r>
    </w:p>
    <w:p>
      <w:r>
        <w:t>Não anunciar como especialista quem não tiver o registro correspondente. Evitar promessa de resultado, cura, exclusividade ou superioridade. Credenciais e informações de saúde devem ser comprováveis. [9–10]</w:t>
      </w:r>
    </w:p>
    <w:p>
      <w:pPr>
        <w:pStyle w:val="Heading2"/>
      </w:pPr>
      <w:r>
        <w:t>Vacinas e medicamentos</w:t>
      </w:r>
    </w:p>
    <w:p>
      <w:r>
        <w:t>O artigo 7º da Lei 9294/1996 restringe a publicidade de medicamentos, com exceções legais específicas. Conteúdo educativo não deve funcionar como oferta disfarçada de produto sujeito a prescrição. Separar orientação sobre doenças da promoção de imunizantes. [11]</w:t>
      </w:r>
    </w:p>
    <w:p>
      <w:pPr>
        <w:pStyle w:val="Heading2"/>
      </w:pPr>
      <w:r>
        <w:t>RDC 96 e contexto jurídico</w:t>
      </w:r>
    </w:p>
    <w:p>
      <w:r>
        <w:t>A RDC 96/2008 permanece como texto de referência, mas há decisão do STJ sobre ilegalidade de exigências que extrapolam a lei. Não tratá-la isoladamente como orientação definitiva nem interpretar a decisão como autorização geral para anunciar vacinas ao público. Ofertas específicas exigem análise do enquadramento vigente. [13–14]</w:t>
      </w:r>
    </w:p>
    <w:p>
      <w:pPr>
        <w:pStyle w:val="Heading2"/>
      </w:pPr>
      <w:r>
        <w:t>Operação do serviço</w:t>
      </w:r>
    </w:p>
    <w:p>
      <w:r>
        <w:t>A RDC 197/2017 trata de requisitos dos serviços de vacinação. Fotografias de equipamentos não comprovam conformidade integral. Validar rotinas de conservação, registros, licenciamento e vacinação extramuros com o responsável técnico. [12]</w:t>
      </w:r>
    </w:p>
    <w:p>
      <w:pPr>
        <w:pStyle w:val="Heading2"/>
      </w:pPr>
      <w:r>
        <w:t>Liberação de cada peça</w:t>
      </w:r>
    </w:p>
    <w:p>
      <w:r>
        <w:t>Confirmar informação clínica, identificação profissional, autorização de imagem, atualidade do serviço, ausência de promessa indevida e chamada para ação compatível. No conteúdo sobre Nexo, conferir condições e não anunciar o benefício como plano de saúde sem fundamento.</w:t>
      </w:r>
    </w:p>
    <w:p>
      <w:r>
        <w:br w:type="page"/>
      </w:r>
    </w:p>
    <w:p>
      <w:pPr>
        <w:pStyle w:val="Heading1"/>
      </w:pPr>
      <w:r>
        <w:t>Fontes e referências institucionais</w:t>
      </w:r>
    </w:p>
    <w:p>
      <w:r>
        <w:t>Consulta em 26 de outubro de 2026. Os números entre colchetes remetem às referências abaixo. O briefing e as três imagens fornecidos pela Evolution Marketing complementam estas fontes.</w:t>
      </w:r>
    </w:p>
    <w:p>
      <w:pPr>
        <w:pStyle w:val="Heading2"/>
      </w:pPr>
      <w:r>
        <w:t>1  Clínica Camargo</w:t>
      </w:r>
    </w:p>
    <w:p>
      <w:r>
        <w:t>História, apresentação institucional e corpo clínico.</w:t>
      </w:r>
    </w:p>
    <w:p>
      <w:hyperlink r:id="rId13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2  Camargo Vacinas</w:t>
      </w:r>
    </w:p>
    <w:p>
      <w:r>
        <w:t>Serviços e informações institucionais sobre conservação.</w:t>
      </w:r>
    </w:p>
    <w:p>
      <w:hyperlink r:id="rId14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3  Saúde Livre Itapetininga</w:t>
      </w:r>
    </w:p>
    <w:p>
      <w:r>
        <w:t>Página oficial da unidade local e planejamento vacinal.</w:t>
      </w:r>
    </w:p>
    <w:p>
      <w:hyperlink r:id="rId15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4  CNES Saúde Livre</w:t>
      </w:r>
    </w:p>
    <w:p>
      <w:r>
        <w:t>Cadastro local do estabelecimento.</w:t>
      </w:r>
    </w:p>
    <w:p>
      <w:hyperlink r:id="rId16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5  Clínica da Cidade Itapetininga</w:t>
      </w:r>
    </w:p>
    <w:p>
      <w:r>
        <w:t>Presença local da rede.</w:t>
      </w:r>
    </w:p>
    <w:p>
      <w:hyperlink r:id="rId17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6  Pró Clínica Itapetininga</w:t>
      </w:r>
    </w:p>
    <w:p>
      <w:r>
        <w:t>Especialidades, exames e comunicação de conveniência.</w:t>
      </w:r>
    </w:p>
    <w:p>
      <w:hyperlink r:id="rId18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7  Prefeitura de Itapetininga</w:t>
      </w:r>
    </w:p>
    <w:p>
      <w:r>
        <w:t>Registro da Clínica Nascer no Diário Oficial.</w:t>
      </w:r>
    </w:p>
    <w:p>
      <w:hyperlink r:id="rId19">
        <w:r>
          <w:rPr>
            <w:color w:val="06666C"/>
          </w:rPr>
          <w:t>Abrir fonte oficial</w:t>
        </w:r>
      </w:hyperlink>
    </w:p>
    <w:p>
      <w:r>
        <w:br w:type="page"/>
      </w:r>
    </w:p>
    <w:p>
      <w:pPr>
        <w:pStyle w:val="Heading1"/>
      </w:pPr>
      <w:r>
        <w:t>Fontes e referências técnicas</w:t>
      </w:r>
    </w:p>
    <w:p>
      <w:r>
        <w:t>Consulta em 26 de outubro de 2026. Os números entre colchetes remetem às referências abaixo. O briefing e as três imagens fornecidos pela Evolution Marketing complementam estas fontes.</w:t>
      </w:r>
    </w:p>
    <w:p>
      <w:pPr>
        <w:pStyle w:val="Heading2"/>
      </w:pPr>
      <w:r>
        <w:t>8  OMS World Prematurity Day 2026</w:t>
      </w:r>
    </w:p>
    <w:p>
      <w:r>
        <w:t>Data internacional de 15 de novembro em 2026.</w:t>
      </w:r>
    </w:p>
    <w:p>
      <w:hyperlink r:id="rId20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9  CFM Resolução 2336 de 2023</w:t>
      </w:r>
    </w:p>
    <w:p>
      <w:r>
        <w:t>Regras de publicidade médica.</w:t>
      </w:r>
    </w:p>
    <w:p>
      <w:hyperlink r:id="rId21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10  CFM Perguntas e respostas</w:t>
      </w:r>
    </w:p>
    <w:p>
      <w:r>
        <w:t>Identificação profissional, estabelecimentos e títulos.</w:t>
      </w:r>
    </w:p>
    <w:p>
      <w:hyperlink r:id="rId22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11  Lei 9294 de 1996</w:t>
      </w:r>
    </w:p>
    <w:p>
      <w:r>
        <w:t>Artigo 7º e restrições à propaganda de medicamentos.</w:t>
      </w:r>
    </w:p>
    <w:p>
      <w:hyperlink r:id="rId23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12  Anvisa RDC 197 de 2017</w:t>
      </w:r>
    </w:p>
    <w:p>
      <w:r>
        <w:t>Requisitos mínimos dos serviços de vacinação.</w:t>
      </w:r>
    </w:p>
    <w:p>
      <w:hyperlink r:id="rId24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13  Anvisa RDC 96 de 2008</w:t>
      </w:r>
    </w:p>
    <w:p>
      <w:r>
        <w:t>Texto de referência sobre publicidade de medicamentos.</w:t>
      </w:r>
    </w:p>
    <w:p>
      <w:hyperlink r:id="rId25">
        <w:r>
          <w:rPr>
            <w:color w:val="06666C"/>
          </w:rPr>
          <w:t>Abrir fonte oficial</w:t>
        </w:r>
      </w:hyperlink>
    </w:p>
    <w:p>
      <w:pPr>
        <w:pStyle w:val="Heading2"/>
      </w:pPr>
      <w:r>
        <w:t>14  STJ Informativo 821</w:t>
      </w:r>
    </w:p>
    <w:p>
      <w:r>
        <w:t>REsp 2035645 DF e limites da regulação publicitária.</w:t>
      </w:r>
    </w:p>
    <w:p>
      <w:hyperlink r:id="rId26">
        <w:r>
          <w:rPr>
            <w:color w:val="06666C"/>
          </w:rPr>
          <w:t>Abrir fonte oficial</w:t>
        </w:r>
      </w:hyperlink>
    </w:p>
    <w:sectPr w:rsidR="00FC693F" w:rsidRPr="0006063C" w:rsidSect="00034616">
      <w:footerReference w:type="default" r:id="rId9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96C70"/>
        <w:sz w:val="16"/>
      </w:rPr>
      <w:t xml:space="preserve">EVOLUTION MARKETING  •  CAMARGO 2026     |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6666C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666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yperlink" Target="https://www.clinicacamargoitape.com.br/" TargetMode="External"/><Relationship Id="rId14" Type="http://schemas.openxmlformats.org/officeDocument/2006/relationships/hyperlink" Target="https://www.clinicacamargovacinas.com.br/" TargetMode="External"/><Relationship Id="rId15" Type="http://schemas.openxmlformats.org/officeDocument/2006/relationships/hyperlink" Target="https://saudelivrevacinas.com.br/agendamentos/saude-livre-itapetininga/" TargetMode="External"/><Relationship Id="rId16" Type="http://schemas.openxmlformats.org/officeDocument/2006/relationships/hyperlink" Target="https://cnes2.datasus.gov.br/Mod_Conjunto.asp?VCo_Unidade=3522304934377" TargetMode="External"/><Relationship Id="rId17" Type="http://schemas.openxmlformats.org/officeDocument/2006/relationships/hyperlink" Target="https://www.clinicadacidade.com.br/centro-medico/itapetininga-sp/" TargetMode="External"/><Relationship Id="rId18" Type="http://schemas.openxmlformats.org/officeDocument/2006/relationships/hyperlink" Target="https://proclinicaitapetininga.com.br/" TargetMode="External"/><Relationship Id="rId19" Type="http://schemas.openxmlformats.org/officeDocument/2006/relationships/hyperlink" Target="https://www.itapetininga.sp.gov.br/diario-oficial-eletronico/download/769" TargetMode="External"/><Relationship Id="rId20" Type="http://schemas.openxmlformats.org/officeDocument/2006/relationships/hyperlink" Target="https://www.who.int/campaigns/world-prematurity-day/2026" TargetMode="External"/><Relationship Id="rId21" Type="http://schemas.openxmlformats.org/officeDocument/2006/relationships/hyperlink" Target="https://sistemas.cfm.org.br/normas/visualizar/resolucoes/BR/2023/2336" TargetMode="External"/><Relationship Id="rId22" Type="http://schemas.openxmlformats.org/officeDocument/2006/relationships/hyperlink" Target="https://publicidademedica.cfm.org.br/perguntas-e-respostas" TargetMode="External"/><Relationship Id="rId23" Type="http://schemas.openxmlformats.org/officeDocument/2006/relationships/hyperlink" Target="https://planalto.gov.br/ccivil_03/leis/l9294.htm" TargetMode="External"/><Relationship Id="rId24" Type="http://schemas.openxmlformats.org/officeDocument/2006/relationships/hyperlink" Target="https://bvsms.saude.gov.br/bvs/saudelegis/anvisa/2017/rdc0197_26_12_2017.pdf" TargetMode="External"/><Relationship Id="rId25" Type="http://schemas.openxmlformats.org/officeDocument/2006/relationships/hyperlink" Target="https://antigo.anvisa.gov.br/documents/10181/2718376/rdc_96_2008_comp.pdf/e1064ff1-781d-402e-b74f-9521655c663d?version=1.0" TargetMode="External"/><Relationship Id="rId26" Type="http://schemas.openxmlformats.org/officeDocument/2006/relationships/hyperlink" Target="https://processo.stj.jus.br/jurisprudencia/externo/informativo/?livre=%40CNOT%3D0209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Planejamento estratégico de marketing Clínica Camargo novembro e dezembro de 2026</dc:title>
  <dc:subject/>
  <dc:creator>Evolution Marketing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